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 xml:space="preserve">stavby vozidla </w:t>
      </w:r>
      <w:r w:rsidR="006206EF">
        <w:rPr>
          <w:rFonts w:cs="Arial"/>
          <w:b/>
          <w:sz w:val="32"/>
          <w:szCs w:val="32"/>
        </w:rPr>
        <w:t xml:space="preserve">Inspekce provozu ZZSPK (posilového vozidla </w:t>
      </w:r>
      <w:r w:rsidR="003B686D" w:rsidRPr="003C27D8">
        <w:rPr>
          <w:rFonts w:cs="Arial"/>
          <w:b/>
          <w:sz w:val="32"/>
          <w:szCs w:val="32"/>
        </w:rPr>
        <w:t>rychlé lékařské pomoci v setkávacím systému</w:t>
      </w:r>
      <w:r w:rsidR="006206EF">
        <w:rPr>
          <w:rFonts w:cs="Arial"/>
          <w:b/>
          <w:sz w:val="32"/>
          <w:szCs w:val="32"/>
        </w:rPr>
        <w:t>)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>rok výroby 2022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>
              <w:rPr>
                <w:rFonts w:cs="Arial"/>
                <w:sz w:val="20"/>
                <w:szCs w:val="20"/>
              </w:rPr>
              <w:t>8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6206EF" w:rsidRPr="00530770" w:rsidTr="003C27D8">
        <w:tc>
          <w:tcPr>
            <w:tcW w:w="7088" w:type="dxa"/>
          </w:tcPr>
          <w:p w:rsidR="006206EF" w:rsidRPr="00530770" w:rsidRDefault="006206EF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ks zásuvka 230V funkční při spuštěném motoru vozidla.</w:t>
            </w:r>
          </w:p>
        </w:tc>
        <w:tc>
          <w:tcPr>
            <w:tcW w:w="3224" w:type="dxa"/>
            <w:shd w:val="clear" w:color="auto" w:fill="FFFFCC"/>
          </w:tcPr>
          <w:p w:rsidR="006206EF" w:rsidRPr="00530770" w:rsidRDefault="006206EF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Zástavba vozidla v souladu s platnou legislativou, včetně zápisu v TP vozidla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E6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</w:t>
            </w:r>
            <w:r w:rsidR="00D702B9">
              <w:rPr>
                <w:rFonts w:cs="Arial"/>
                <w:sz w:val="20"/>
                <w:szCs w:val="20"/>
              </w:rPr>
              <w:t xml:space="preserve">Skříňka s maximálním využitím výšky prostoru vozidla. </w:t>
            </w:r>
            <w:r w:rsidRPr="00530770">
              <w:rPr>
                <w:rFonts w:cs="Arial"/>
                <w:sz w:val="20"/>
                <w:szCs w:val="20"/>
              </w:rPr>
              <w:t xml:space="preserve">Skříňka opatřena </w:t>
            </w:r>
            <w:r w:rsidR="00795DEF">
              <w:rPr>
                <w:rFonts w:cs="Arial"/>
                <w:sz w:val="20"/>
                <w:szCs w:val="20"/>
              </w:rPr>
              <w:t>dvěma</w:t>
            </w:r>
            <w:r w:rsidRPr="00530770">
              <w:rPr>
                <w:rFonts w:cs="Arial"/>
                <w:sz w:val="20"/>
                <w:szCs w:val="20"/>
              </w:rPr>
              <w:t xml:space="preserve"> šuplík</w:t>
            </w:r>
            <w:r w:rsidR="00795DEF">
              <w:rPr>
                <w:rFonts w:cs="Arial"/>
                <w:sz w:val="20"/>
                <w:szCs w:val="20"/>
              </w:rPr>
              <w:t>y</w:t>
            </w:r>
            <w:r w:rsidRPr="00530770">
              <w:rPr>
                <w:rFonts w:cs="Arial"/>
                <w:sz w:val="20"/>
                <w:szCs w:val="20"/>
              </w:rPr>
              <w:t xml:space="preserve"> v horní</w:t>
            </w:r>
            <w:r w:rsidR="00795DEF">
              <w:rPr>
                <w:rFonts w:cs="Arial"/>
                <w:sz w:val="20"/>
                <w:szCs w:val="20"/>
              </w:rPr>
              <w:t xml:space="preserve"> části, které</w:t>
            </w:r>
            <w:r w:rsidRPr="00530770">
              <w:rPr>
                <w:rFonts w:cs="Arial"/>
                <w:sz w:val="20"/>
                <w:szCs w:val="20"/>
              </w:rPr>
              <w:t xml:space="preserve"> lze vysunout po otevření LZ dveří. Šuplík</w:t>
            </w:r>
            <w:r w:rsidR="00795DEF">
              <w:rPr>
                <w:rFonts w:cs="Arial"/>
                <w:sz w:val="20"/>
                <w:szCs w:val="20"/>
              </w:rPr>
              <w:t>y</w:t>
            </w:r>
            <w:r w:rsidRPr="00530770">
              <w:rPr>
                <w:rFonts w:cs="Arial"/>
                <w:sz w:val="20"/>
                <w:szCs w:val="20"/>
              </w:rPr>
              <w:t xml:space="preserve"> opatřen</w:t>
            </w:r>
            <w:r w:rsidR="00795DEF">
              <w:rPr>
                <w:rFonts w:cs="Arial"/>
                <w:sz w:val="20"/>
                <w:szCs w:val="20"/>
              </w:rPr>
              <w:t>y</w:t>
            </w:r>
            <w:r w:rsidRPr="00530770">
              <w:rPr>
                <w:rFonts w:cs="Arial"/>
                <w:sz w:val="20"/>
                <w:szCs w:val="20"/>
              </w:rPr>
              <w:t xml:space="preserve"> aretací proti samovolnému otevření, výška šuplíku min. 180 mm. Pod šuplík</w:t>
            </w:r>
            <w:r w:rsidR="00795DEF">
              <w:rPr>
                <w:rFonts w:cs="Arial"/>
                <w:sz w:val="20"/>
                <w:szCs w:val="20"/>
              </w:rPr>
              <w:t>y</w:t>
            </w:r>
            <w:r w:rsidRPr="00530770">
              <w:rPr>
                <w:rFonts w:cs="Arial"/>
                <w:sz w:val="20"/>
                <w:szCs w:val="20"/>
              </w:rPr>
              <w:t xml:space="preserve"> volný prostor pro uložení materiálu. </w:t>
            </w:r>
            <w:r w:rsidR="00F972D5">
              <w:rPr>
                <w:rFonts w:cs="Arial"/>
                <w:sz w:val="20"/>
                <w:szCs w:val="20"/>
              </w:rPr>
              <w:t>V</w:t>
            </w:r>
            <w:r w:rsidR="00A94E63">
              <w:rPr>
                <w:rFonts w:cs="Arial"/>
                <w:sz w:val="20"/>
                <w:szCs w:val="20"/>
              </w:rPr>
              <w:t xml:space="preserve"> pravé části </w:t>
            </w:r>
            <w:r w:rsidR="00F972D5">
              <w:rPr>
                <w:rFonts w:cs="Arial"/>
                <w:sz w:val="20"/>
                <w:szCs w:val="20"/>
              </w:rPr>
              <w:t>to</w:t>
            </w:r>
            <w:r w:rsidR="00A94E63">
              <w:rPr>
                <w:rFonts w:cs="Arial"/>
                <w:sz w:val="20"/>
                <w:szCs w:val="20"/>
              </w:rPr>
              <w:t>hot</w:t>
            </w:r>
            <w:r w:rsidR="00F972D5">
              <w:rPr>
                <w:rFonts w:cs="Arial"/>
                <w:sz w:val="20"/>
                <w:szCs w:val="20"/>
              </w:rPr>
              <w:t>o prostoru uchycení přístroje Lucas2</w:t>
            </w:r>
            <w:r w:rsidR="00A94E63">
              <w:rPr>
                <w:rFonts w:cs="Arial"/>
                <w:sz w:val="20"/>
                <w:szCs w:val="20"/>
              </w:rPr>
              <w:t>, uchycení musí umožnit rychlé vyjmutí přístroje</w:t>
            </w:r>
            <w:r w:rsidR="00795DEF" w:rsidRPr="00795DEF">
              <w:rPr>
                <w:rFonts w:cs="Arial"/>
                <w:sz w:val="20"/>
                <w:szCs w:val="20"/>
              </w:rPr>
              <w:t xml:space="preserve">. Přesné umístění odsouhlasí zadavatel. </w:t>
            </w:r>
            <w:r w:rsidR="00B93DAF" w:rsidRPr="006F15C8">
              <w:rPr>
                <w:rFonts w:cs="Arial"/>
                <w:sz w:val="20"/>
                <w:szCs w:val="20"/>
              </w:rPr>
              <w:t>Dno skříňky opatřeno servisním otvorem umožňující</w:t>
            </w:r>
            <w:r w:rsidR="00795DEF">
              <w:rPr>
                <w:rFonts w:cs="Arial"/>
                <w:sz w:val="20"/>
                <w:szCs w:val="20"/>
              </w:rPr>
              <w:t>m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  <w:r w:rsidR="00795DEF">
              <w:rPr>
                <w:rFonts w:cs="Arial"/>
                <w:sz w:val="20"/>
                <w:szCs w:val="20"/>
              </w:rPr>
              <w:t xml:space="preserve"> </w:t>
            </w:r>
            <w:r w:rsidR="00795DEF" w:rsidRPr="00795DEF">
              <w:rPr>
                <w:rFonts w:cs="Arial"/>
                <w:b/>
                <w:sz w:val="20"/>
                <w:szCs w:val="20"/>
              </w:rPr>
              <w:t xml:space="preserve">Dodavatel doloží certifikát </w:t>
            </w:r>
            <w:r w:rsidR="00795DEF">
              <w:rPr>
                <w:rFonts w:cs="Arial"/>
                <w:b/>
                <w:sz w:val="20"/>
                <w:szCs w:val="20"/>
              </w:rPr>
              <w:t xml:space="preserve">držáku </w:t>
            </w:r>
            <w:r w:rsidR="00795DEF" w:rsidRPr="00795DEF">
              <w:rPr>
                <w:rFonts w:cs="Arial"/>
                <w:b/>
                <w:sz w:val="20"/>
                <w:szCs w:val="20"/>
              </w:rPr>
              <w:t>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95DE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  <w:r w:rsidR="001A3E65">
              <w:rPr>
                <w:rFonts w:cs="Arial"/>
                <w:sz w:val="20"/>
                <w:szCs w:val="20"/>
              </w:rPr>
              <w:t xml:space="preserve"> </w:t>
            </w:r>
            <w:r w:rsidR="001A3E65" w:rsidRPr="001A3E65">
              <w:rPr>
                <w:rFonts w:cs="Arial"/>
                <w:sz w:val="20"/>
                <w:szCs w:val="20"/>
              </w:rPr>
              <w:t xml:space="preserve">Prostor mezi mříží a opěradly zadních sedadel vymezen poličkou. Polička musí </w:t>
            </w:r>
            <w:r w:rsidR="00852B44">
              <w:rPr>
                <w:rFonts w:cs="Arial"/>
                <w:sz w:val="20"/>
                <w:szCs w:val="20"/>
              </w:rPr>
              <w:t>umožnit dodatečnou montáž držáku</w:t>
            </w:r>
            <w:r w:rsidR="001A3E65" w:rsidRPr="001A3E65">
              <w:rPr>
                <w:rFonts w:cs="Arial"/>
                <w:sz w:val="20"/>
                <w:szCs w:val="20"/>
              </w:rPr>
              <w:t xml:space="preserve"> </w:t>
            </w:r>
            <w:r w:rsidR="00795DEF">
              <w:rPr>
                <w:rFonts w:cs="Arial"/>
                <w:sz w:val="20"/>
                <w:szCs w:val="20"/>
              </w:rPr>
              <w:t>tiskáren a</w:t>
            </w:r>
            <w:r w:rsidR="001A3E65" w:rsidRPr="001A3E65">
              <w:rPr>
                <w:rFonts w:cs="Arial"/>
                <w:sz w:val="20"/>
                <w:szCs w:val="20"/>
              </w:rPr>
              <w:t xml:space="preserve"> komunikační techniky. Nutné zachování co největšího objemu zavazadlového prostoru.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02B9" w:rsidRPr="00530770" w:rsidTr="003C27D8">
        <w:tc>
          <w:tcPr>
            <w:tcW w:w="7088" w:type="dxa"/>
          </w:tcPr>
          <w:p w:rsidR="00D702B9" w:rsidRPr="00530770" w:rsidRDefault="00D702B9" w:rsidP="00EE084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02B9"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sz w:val="20"/>
                <w:szCs w:val="20"/>
              </w:rPr>
              <w:t>poličce</w:t>
            </w:r>
            <w:r w:rsidRPr="00D702B9">
              <w:rPr>
                <w:rFonts w:cs="Arial"/>
                <w:sz w:val="20"/>
                <w:szCs w:val="20"/>
              </w:rPr>
              <w:t xml:space="preserve"> 1 ks kombinovaný držák tiskáren HP Office Jet 100 a Brother PJ-763 včetně ochranného obalu tiskárny a papíru PA-RC-001, certifikovaný dle ČSN EN 1789 (EN 1789:2020),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EE0848">
              <w:rPr>
                <w:rFonts w:cs="Arial"/>
                <w:sz w:val="20"/>
                <w:szCs w:val="20"/>
              </w:rPr>
              <w:t>n</w:t>
            </w:r>
            <w:r w:rsidR="00EE0848" w:rsidRPr="00EE0848">
              <w:rPr>
                <w:rFonts w:cs="Arial"/>
                <w:sz w:val="20"/>
                <w:szCs w:val="20"/>
              </w:rPr>
              <w:t xml:space="preserve">a </w:t>
            </w:r>
            <w:r w:rsidR="00EE0848">
              <w:rPr>
                <w:rFonts w:cs="Arial"/>
                <w:sz w:val="20"/>
                <w:szCs w:val="20"/>
              </w:rPr>
              <w:t>poličce</w:t>
            </w:r>
            <w:r w:rsidR="00EE0848" w:rsidRPr="00EE0848">
              <w:rPr>
                <w:rFonts w:cs="Arial"/>
                <w:sz w:val="20"/>
                <w:szCs w:val="20"/>
              </w:rPr>
              <w:t xml:space="preserve"> montáž radiostanice 80 MHz včetně dodání antény a napájení. Připojovací kabely a kabel antény s dostatečnou rezervou. Radiostanici s držákem dodá zadavatel. Přesné umístění odsouhlasí před montáží zadavatel.</w:t>
            </w:r>
            <w:r w:rsidR="00EE0848">
              <w:rPr>
                <w:rFonts w:cs="Arial"/>
                <w:sz w:val="20"/>
                <w:szCs w:val="20"/>
              </w:rPr>
              <w:t xml:space="preserve"> </w:t>
            </w:r>
            <w:r w:rsidRPr="00D702B9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D702B9" w:rsidRPr="00530770" w:rsidRDefault="00D702B9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02B9" w:rsidRPr="00530770" w:rsidTr="003C27D8">
        <w:tc>
          <w:tcPr>
            <w:tcW w:w="7088" w:type="dxa"/>
          </w:tcPr>
          <w:p w:rsidR="00D702B9" w:rsidRPr="00530770" w:rsidRDefault="00D702B9" w:rsidP="00D702B9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02B9"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sz w:val="20"/>
                <w:szCs w:val="20"/>
              </w:rPr>
              <w:t>poličce vlevo vzadu vedle horního šuplíku</w:t>
            </w:r>
            <w:r w:rsidRPr="00D702B9">
              <w:rPr>
                <w:rFonts w:cs="Arial"/>
                <w:sz w:val="20"/>
                <w:szCs w:val="20"/>
              </w:rPr>
              <w:t xml:space="preserve"> 1 ks pravoúhlá LED přenosná svítilna s certifikací ATEX do zóny 0, </w:t>
            </w:r>
            <w:proofErr w:type="spellStart"/>
            <w:r w:rsidRPr="00D702B9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D702B9">
              <w:rPr>
                <w:rFonts w:cs="Arial"/>
                <w:sz w:val="20"/>
                <w:szCs w:val="20"/>
              </w:rPr>
              <w:t xml:space="preserve"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</w:t>
            </w:r>
            <w:r>
              <w:rPr>
                <w:rFonts w:cs="Arial"/>
                <w:sz w:val="20"/>
                <w:szCs w:val="20"/>
              </w:rPr>
              <w:t xml:space="preserve">Svítilna přístupná po otevření LZ dveří vozidla. </w:t>
            </w:r>
            <w:r w:rsidRPr="00D702B9">
              <w:rPr>
                <w:rFonts w:cs="Arial"/>
                <w:sz w:val="20"/>
                <w:szCs w:val="20"/>
              </w:rPr>
              <w:t>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D702B9" w:rsidRPr="00530770" w:rsidRDefault="00D702B9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95DE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 se signalizací připojení na přístrojové desce, akustická a optická signalizace neodpojení připojovacího kabelu při startu vozidla, podrobné schéma zapojení a výchozí revizní zpráva.</w:t>
            </w:r>
            <w:r w:rsidR="009E245C">
              <w:rPr>
                <w:rFonts w:cs="Arial"/>
                <w:sz w:val="20"/>
                <w:szCs w:val="20"/>
              </w:rPr>
              <w:t xml:space="preserve"> </w:t>
            </w:r>
            <w:r w:rsidR="009E245C" w:rsidRPr="009E245C">
              <w:rPr>
                <w:rFonts w:cs="Arial"/>
                <w:sz w:val="20"/>
                <w:szCs w:val="20"/>
              </w:rPr>
              <w:t>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95DE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Veškeré komponenty 230V včetně nabíječky umístěny v zavazadlovém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prostoru na zadní stěně skříňky.</w:t>
            </w:r>
            <w:r w:rsidR="009E38D4">
              <w:rPr>
                <w:rFonts w:cs="Arial"/>
                <w:sz w:val="20"/>
                <w:szCs w:val="20"/>
              </w:rPr>
              <w:t xml:space="preserve"> </w:t>
            </w:r>
            <w:r w:rsidR="009E38D4" w:rsidRPr="009E38D4">
              <w:rPr>
                <w:rFonts w:cs="Arial"/>
                <w:sz w:val="20"/>
                <w:szCs w:val="20"/>
              </w:rPr>
              <w:t>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lastRenderedPageBreak/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9E38D4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9E38D4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9E38D4">
              <w:rPr>
                <w:rFonts w:cs="Arial"/>
                <w:sz w:val="20"/>
                <w:szCs w:val="20"/>
              </w:rPr>
              <w:t>ně</w:t>
            </w:r>
            <w:r w:rsidRPr="00530770">
              <w:rPr>
                <w:rFonts w:cs="Arial"/>
                <w:sz w:val="20"/>
                <w:szCs w:val="20"/>
              </w:rPr>
              <w:t xml:space="preserve">ny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9B34DE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vakuových dlah</w:t>
            </w:r>
            <w:r w:rsidR="009B34DE">
              <w:rPr>
                <w:rFonts w:cs="Arial"/>
                <w:sz w:val="20"/>
                <w:szCs w:val="20"/>
              </w:rPr>
              <w:t>, kyslíkových LIV lahví a přenosného osvětlovacího stožáru</w:t>
            </w:r>
            <w:r w:rsidRPr="00530770">
              <w:rPr>
                <w:rFonts w:cs="Arial"/>
                <w:sz w:val="20"/>
                <w:szCs w:val="20"/>
              </w:rPr>
              <w:t>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A94E63" w:rsidRPr="00530770" w:rsidTr="003C27D8">
        <w:tc>
          <w:tcPr>
            <w:tcW w:w="7088" w:type="dxa"/>
          </w:tcPr>
          <w:p w:rsidR="00A94E63" w:rsidRPr="0026111D" w:rsidRDefault="00A94E63" w:rsidP="00A94E6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  <w:r w:rsidRPr="00A94E63">
              <w:rPr>
                <w:rFonts w:cs="Arial"/>
                <w:sz w:val="20"/>
              </w:rPr>
              <w:t xml:space="preserve"> ks certifikovaný držák 2 lit. </w:t>
            </w:r>
            <w:proofErr w:type="gramStart"/>
            <w:r w:rsidRPr="00A94E63">
              <w:rPr>
                <w:rFonts w:cs="Arial"/>
                <w:sz w:val="20"/>
              </w:rPr>
              <w:t>kyslíkové</w:t>
            </w:r>
            <w:proofErr w:type="gramEnd"/>
            <w:r w:rsidRPr="00A94E63">
              <w:rPr>
                <w:rFonts w:cs="Arial"/>
                <w:sz w:val="20"/>
              </w:rPr>
              <w:t xml:space="preserve"> LIV lahve dle ČSN EN 1789 (EN 1789:2020)</w:t>
            </w:r>
            <w:r>
              <w:rPr>
                <w:rFonts w:cs="Arial"/>
                <w:sz w:val="20"/>
              </w:rPr>
              <w:t xml:space="preserve"> </w:t>
            </w:r>
            <w:r w:rsidRPr="00A94E63">
              <w:rPr>
                <w:rFonts w:cs="Arial"/>
                <w:sz w:val="20"/>
              </w:rPr>
              <w:t>umístěný pod výsuvným platem na zpevněnou plochu dna kufru.</w:t>
            </w:r>
            <w:r>
              <w:rPr>
                <w:rFonts w:cs="Arial"/>
                <w:sz w:val="20"/>
              </w:rPr>
              <w:t xml:space="preserve"> </w:t>
            </w:r>
            <w:r w:rsidRPr="00A94E63">
              <w:rPr>
                <w:rFonts w:cs="Arial"/>
                <w:sz w:val="20"/>
              </w:rPr>
              <w:t>Přesné umístění držák</w:t>
            </w:r>
            <w:r>
              <w:rPr>
                <w:rFonts w:cs="Arial"/>
                <w:sz w:val="20"/>
              </w:rPr>
              <w:t>ů</w:t>
            </w:r>
            <w:r w:rsidRPr="00A94E63">
              <w:rPr>
                <w:rFonts w:cs="Arial"/>
                <w:sz w:val="20"/>
              </w:rPr>
              <w:t xml:space="preserve"> odsouhlasí zadavatel.</w:t>
            </w:r>
            <w:r>
              <w:rPr>
                <w:rFonts w:cs="Arial"/>
                <w:sz w:val="20"/>
              </w:rPr>
              <w:t xml:space="preserve"> </w:t>
            </w:r>
            <w:r w:rsidRPr="00A94E63">
              <w:rPr>
                <w:rFonts w:cs="Arial"/>
                <w:b/>
                <w:sz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A94E63" w:rsidRPr="00530770" w:rsidRDefault="00A94E6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A3E65" w:rsidRPr="00530770" w:rsidTr="003C27D8">
        <w:tc>
          <w:tcPr>
            <w:tcW w:w="7088" w:type="dxa"/>
          </w:tcPr>
          <w:p w:rsidR="001A3E65" w:rsidRPr="00530770" w:rsidRDefault="0026111D" w:rsidP="0026111D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6111D">
              <w:rPr>
                <w:rFonts w:cs="Arial"/>
                <w:sz w:val="20"/>
              </w:rPr>
              <w:t>1</w:t>
            </w:r>
            <w:r w:rsidR="001A3E65" w:rsidRPr="0026111D">
              <w:rPr>
                <w:rFonts w:cs="Arial"/>
                <w:sz w:val="20"/>
              </w:rPr>
              <w:t xml:space="preserve"> ks držák </w:t>
            </w:r>
            <w:r w:rsidRPr="0026111D">
              <w:rPr>
                <w:rFonts w:cs="Arial"/>
                <w:sz w:val="20"/>
              </w:rPr>
              <w:t>přenosného osvětlovacího stožáru</w:t>
            </w:r>
            <w:r w:rsidR="001A3E65" w:rsidRPr="0026111D">
              <w:rPr>
                <w:rFonts w:cs="Arial"/>
                <w:sz w:val="20"/>
              </w:rPr>
              <w:t xml:space="preserve"> </w:t>
            </w:r>
            <w:proofErr w:type="spellStart"/>
            <w:r w:rsidR="00100A28">
              <w:rPr>
                <w:rFonts w:cs="Arial"/>
                <w:sz w:val="20"/>
              </w:rPr>
              <w:t>Scene</w:t>
            </w:r>
            <w:proofErr w:type="spellEnd"/>
            <w:r w:rsidR="00100A28">
              <w:rPr>
                <w:rFonts w:cs="Arial"/>
                <w:sz w:val="20"/>
              </w:rPr>
              <w:t xml:space="preserve"> </w:t>
            </w:r>
            <w:proofErr w:type="spellStart"/>
            <w:r w:rsidR="00100A28">
              <w:rPr>
                <w:rFonts w:cs="Arial"/>
                <w:sz w:val="20"/>
              </w:rPr>
              <w:t>Light</w:t>
            </w:r>
            <w:proofErr w:type="spellEnd"/>
            <w:r w:rsidR="00100A28">
              <w:rPr>
                <w:rFonts w:cs="Arial"/>
                <w:sz w:val="20"/>
              </w:rPr>
              <w:t xml:space="preserve"> </w:t>
            </w:r>
            <w:r w:rsidR="001A3E65" w:rsidRPr="0026111D">
              <w:rPr>
                <w:rFonts w:cs="Arial"/>
                <w:sz w:val="20"/>
              </w:rPr>
              <w:t xml:space="preserve">umístěný pod výsuvným platem na zpevněnou plochu dna kufru. </w:t>
            </w:r>
            <w:r w:rsidRPr="0026111D">
              <w:rPr>
                <w:rFonts w:cs="Arial"/>
                <w:sz w:val="20"/>
              </w:rPr>
              <w:t xml:space="preserve">Zajištění stožáru formou dvoubodového bezpečnostního pásu. </w:t>
            </w:r>
            <w:r>
              <w:rPr>
                <w:rFonts w:cs="Arial"/>
                <w:sz w:val="20"/>
              </w:rPr>
              <w:t xml:space="preserve">1 ks zásuvka 12V </w:t>
            </w:r>
            <w:proofErr w:type="spellStart"/>
            <w:r>
              <w:rPr>
                <w:rFonts w:cs="Arial"/>
                <w:sz w:val="20"/>
              </w:rPr>
              <w:t>zapalovačová</w:t>
            </w:r>
            <w:proofErr w:type="spellEnd"/>
            <w:r>
              <w:rPr>
                <w:rFonts w:cs="Arial"/>
                <w:sz w:val="20"/>
              </w:rPr>
              <w:t xml:space="preserve"> s optickou kontrolou funkčnosti pro napájení stožáru poblíž držáku stožáru. </w:t>
            </w:r>
            <w:r w:rsidR="00AE6EC8">
              <w:rPr>
                <w:rFonts w:cs="Arial"/>
                <w:sz w:val="20"/>
              </w:rPr>
              <w:t xml:space="preserve">Stožár dodá zadavatel. </w:t>
            </w:r>
            <w:r w:rsidR="001A3E65" w:rsidRPr="0026111D">
              <w:rPr>
                <w:rFonts w:cs="Arial"/>
                <w:sz w:val="20"/>
              </w:rPr>
              <w:t>Přesné umístění držák</w:t>
            </w:r>
            <w:r w:rsidRPr="0026111D">
              <w:rPr>
                <w:rFonts w:cs="Arial"/>
                <w:sz w:val="20"/>
              </w:rPr>
              <w:t>u</w:t>
            </w:r>
            <w:r w:rsidR="001A3E65" w:rsidRPr="0026111D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a zásuvky </w:t>
            </w:r>
            <w:r w:rsidR="001A3E65" w:rsidRPr="0026111D">
              <w:rPr>
                <w:rFonts w:cs="Arial"/>
                <w:sz w:val="20"/>
              </w:rPr>
              <w:t>odsouhlasí zadavatel.</w:t>
            </w:r>
          </w:p>
        </w:tc>
        <w:tc>
          <w:tcPr>
            <w:tcW w:w="3224" w:type="dxa"/>
            <w:shd w:val="clear" w:color="auto" w:fill="FFFFCC"/>
          </w:tcPr>
          <w:p w:rsidR="001A3E65" w:rsidRPr="00530770" w:rsidRDefault="001A3E6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59601C" w:rsidRDefault="003C27D8" w:rsidP="00AE6EC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bude osazeno 2</w:t>
            </w:r>
            <w:r w:rsidR="00852B44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ks kovovou nerezovou konstrukcí pro umístění držáků monitoru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 a </w:t>
            </w:r>
            <w:r w:rsidR="00BA01A3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530770">
              <w:rPr>
                <w:rFonts w:cs="Arial"/>
                <w:sz w:val="20"/>
                <w:szCs w:val="20"/>
              </w:rPr>
              <w:t>odsávačky včetně montáže obo</w:t>
            </w:r>
            <w:r w:rsidR="0059601C">
              <w:rPr>
                <w:rFonts w:cs="Arial"/>
                <w:sz w:val="20"/>
                <w:szCs w:val="20"/>
              </w:rPr>
              <w:t>u držáků</w:t>
            </w:r>
            <w:r w:rsidRPr="00530770">
              <w:rPr>
                <w:rFonts w:cs="Arial"/>
                <w:sz w:val="20"/>
                <w:szCs w:val="20"/>
              </w:rPr>
              <w:t xml:space="preserve">, </w:t>
            </w:r>
            <w:r w:rsidR="009E38D4">
              <w:rPr>
                <w:rFonts w:cs="Arial"/>
                <w:sz w:val="20"/>
                <w:szCs w:val="20"/>
              </w:rPr>
              <w:t>uchycení</w:t>
            </w:r>
            <w:r w:rsidR="00852B44">
              <w:rPr>
                <w:rFonts w:cs="Arial"/>
                <w:sz w:val="20"/>
                <w:szCs w:val="20"/>
              </w:rPr>
              <w:t>m</w:t>
            </w:r>
            <w:r w:rsidRPr="00530770">
              <w:rPr>
                <w:rFonts w:cs="Arial"/>
                <w:sz w:val="20"/>
                <w:szCs w:val="20"/>
              </w:rPr>
              <w:t xml:space="preserve"> tašky s kyslíkovou LIV lahví 2</w:t>
            </w:r>
            <w:r w:rsidR="00852B44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lit., </w:t>
            </w:r>
            <w:r w:rsidR="009E38D4">
              <w:rPr>
                <w:rFonts w:cs="Arial"/>
                <w:sz w:val="20"/>
                <w:szCs w:val="20"/>
              </w:rPr>
              <w:t>uchycení</w:t>
            </w:r>
            <w:r w:rsidR="00852B44">
              <w:rPr>
                <w:rFonts w:cs="Arial"/>
                <w:sz w:val="20"/>
                <w:szCs w:val="20"/>
              </w:rPr>
              <w:t>m</w:t>
            </w:r>
            <w:r w:rsidR="009E38D4">
              <w:rPr>
                <w:rFonts w:cs="Arial"/>
                <w:sz w:val="20"/>
                <w:szCs w:val="20"/>
              </w:rPr>
              <w:t xml:space="preserve"> </w:t>
            </w:r>
            <w:r w:rsidR="004D79D7">
              <w:rPr>
                <w:rFonts w:cs="Arial"/>
                <w:sz w:val="20"/>
                <w:szCs w:val="20"/>
              </w:rPr>
              <w:t xml:space="preserve">vaku s </w:t>
            </w:r>
            <w:r w:rsidR="009E38D4">
              <w:rPr>
                <w:rFonts w:cs="Arial"/>
                <w:sz w:val="20"/>
                <w:szCs w:val="20"/>
              </w:rPr>
              <w:t>přístroje</w:t>
            </w:r>
            <w:r w:rsidR="004D79D7">
              <w:rPr>
                <w:rFonts w:cs="Arial"/>
                <w:sz w:val="20"/>
                <w:szCs w:val="20"/>
              </w:rPr>
              <w:t>m</w:t>
            </w:r>
            <w:r w:rsidR="009E38D4">
              <w:rPr>
                <w:rFonts w:cs="Arial"/>
                <w:sz w:val="20"/>
                <w:szCs w:val="20"/>
              </w:rPr>
              <w:t xml:space="preserve"> Baby Pod 20</w:t>
            </w:r>
            <w:r w:rsidR="00935C6B">
              <w:rPr>
                <w:rFonts w:cs="Arial"/>
                <w:sz w:val="20"/>
                <w:szCs w:val="20"/>
              </w:rPr>
              <w:t>, uchycení</w:t>
            </w:r>
            <w:r w:rsidR="00852B44">
              <w:rPr>
                <w:rFonts w:cs="Arial"/>
                <w:sz w:val="20"/>
                <w:szCs w:val="20"/>
              </w:rPr>
              <w:t>m</w:t>
            </w:r>
            <w:r w:rsidR="00935C6B">
              <w:rPr>
                <w:rFonts w:cs="Arial"/>
                <w:sz w:val="20"/>
                <w:szCs w:val="20"/>
              </w:rPr>
              <w:t xml:space="preserve"> 2</w:t>
            </w:r>
            <w:r w:rsidR="00852B44">
              <w:rPr>
                <w:rFonts w:cs="Arial"/>
                <w:sz w:val="20"/>
                <w:szCs w:val="20"/>
              </w:rPr>
              <w:t xml:space="preserve"> </w:t>
            </w:r>
            <w:r w:rsidR="00935C6B">
              <w:rPr>
                <w:rFonts w:cs="Arial"/>
                <w:sz w:val="20"/>
                <w:szCs w:val="20"/>
              </w:rPr>
              <w:t>ks výjezdových batohů</w:t>
            </w:r>
            <w:r w:rsidR="00AE6EC8">
              <w:rPr>
                <w:rFonts w:cs="Arial"/>
                <w:sz w:val="20"/>
                <w:szCs w:val="20"/>
              </w:rPr>
              <w:t>,</w:t>
            </w:r>
            <w:r w:rsidR="00A94E63">
              <w:rPr>
                <w:rFonts w:cs="Arial"/>
                <w:sz w:val="20"/>
                <w:szCs w:val="20"/>
              </w:rPr>
              <w:t xml:space="preserve"> </w:t>
            </w:r>
            <w:r w:rsidR="0026111D" w:rsidRPr="0026111D">
              <w:rPr>
                <w:rFonts w:cs="Arial"/>
                <w:sz w:val="20"/>
                <w:szCs w:val="20"/>
              </w:rPr>
              <w:t>držákem chladničk</w:t>
            </w:r>
            <w:r w:rsidR="0026111D">
              <w:rPr>
                <w:rFonts w:cs="Arial"/>
                <w:sz w:val="20"/>
                <w:szCs w:val="20"/>
              </w:rPr>
              <w:t>y</w:t>
            </w:r>
            <w:r w:rsidR="0026111D" w:rsidRPr="0026111D">
              <w:rPr>
                <w:rFonts w:cs="Arial"/>
                <w:sz w:val="20"/>
                <w:szCs w:val="20"/>
              </w:rPr>
              <w:t xml:space="preserve"> 12V objem 7 </w:t>
            </w:r>
            <w:proofErr w:type="gramStart"/>
            <w:r w:rsidR="0026111D" w:rsidRPr="0026111D">
              <w:rPr>
                <w:rFonts w:cs="Arial"/>
                <w:sz w:val="20"/>
                <w:szCs w:val="20"/>
              </w:rPr>
              <w:t>lit</w:t>
            </w:r>
            <w:r w:rsidR="00FB52BC">
              <w:rPr>
                <w:rFonts w:cs="Arial"/>
                <w:sz w:val="20"/>
                <w:szCs w:val="20"/>
              </w:rPr>
              <w:t>.</w:t>
            </w:r>
            <w:r w:rsidR="00AE6EC8">
              <w:rPr>
                <w:rFonts w:cs="Arial"/>
                <w:sz w:val="20"/>
                <w:szCs w:val="20"/>
              </w:rPr>
              <w:t xml:space="preserve"> a 2 ks</w:t>
            </w:r>
            <w:proofErr w:type="gramEnd"/>
            <w:r w:rsidR="00AE6EC8">
              <w:rPr>
                <w:rFonts w:cs="Arial"/>
                <w:sz w:val="20"/>
                <w:szCs w:val="20"/>
              </w:rPr>
              <w:t xml:space="preserve"> držáku </w:t>
            </w:r>
            <w:r w:rsidR="00AE6EC8" w:rsidRPr="00AE6EC8">
              <w:rPr>
                <w:rFonts w:cs="Arial"/>
                <w:sz w:val="20"/>
                <w:szCs w:val="20"/>
              </w:rPr>
              <w:t>krabice s jednorázovými rukavicemi</w:t>
            </w:r>
            <w:r w:rsidR="00AE6EC8">
              <w:rPr>
                <w:rFonts w:cs="Arial"/>
                <w:sz w:val="20"/>
                <w:szCs w:val="20"/>
              </w:rPr>
              <w:t xml:space="preserve">. </w:t>
            </w:r>
            <w:r w:rsidRPr="00530770">
              <w:rPr>
                <w:rFonts w:cs="Arial"/>
                <w:sz w:val="20"/>
                <w:szCs w:val="20"/>
              </w:rPr>
              <w:t>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 xml:space="preserve"> 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EB543D" w:rsidRDefault="00BA01A3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1 ks transportní bateriová odsávačka dle popisu v příloze TS č. 5.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6111D" w:rsidRPr="00530770" w:rsidTr="003C27D8">
        <w:tc>
          <w:tcPr>
            <w:tcW w:w="7088" w:type="dxa"/>
          </w:tcPr>
          <w:p w:rsidR="0026111D" w:rsidRPr="00530770" w:rsidRDefault="0026111D" w:rsidP="00935C6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26111D">
              <w:rPr>
                <w:rFonts w:cs="Arial"/>
                <w:sz w:val="20"/>
                <w:szCs w:val="20"/>
              </w:rPr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26111D" w:rsidRPr="00530770" w:rsidRDefault="0026111D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5463CB" w:rsidRPr="00530770" w:rsidTr="003C27D8">
        <w:tc>
          <w:tcPr>
            <w:tcW w:w="7088" w:type="dxa"/>
          </w:tcPr>
          <w:p w:rsidR="005463CB" w:rsidRPr="00530770" w:rsidRDefault="005463CB" w:rsidP="00935C6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463CB">
              <w:rPr>
                <w:rFonts w:cs="Arial"/>
                <w:sz w:val="20"/>
                <w:szCs w:val="20"/>
              </w:rPr>
              <w:t xml:space="preserve">1 ks držák monitoru </w:t>
            </w:r>
            <w:proofErr w:type="spellStart"/>
            <w:r w:rsidRPr="005463CB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463CB">
              <w:rPr>
                <w:rFonts w:cs="Arial"/>
                <w:sz w:val="20"/>
                <w:szCs w:val="20"/>
              </w:rPr>
              <w:t xml:space="preserve"> 3 včetně napájení 12V </w:t>
            </w:r>
            <w:r>
              <w:rPr>
                <w:rFonts w:cs="Arial"/>
                <w:sz w:val="20"/>
                <w:szCs w:val="20"/>
              </w:rPr>
              <w:t>a certifikace dle ČSN EN 1789 (EN 1789:2020)</w:t>
            </w:r>
            <w:r w:rsidRPr="005463C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5463CB" w:rsidRPr="00530770" w:rsidRDefault="005463CB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935C6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463CB">
              <w:rPr>
                <w:rFonts w:cs="Arial"/>
                <w:sz w:val="20"/>
                <w:szCs w:val="20"/>
              </w:rPr>
              <w:t>1 ks</w:t>
            </w:r>
            <w:r w:rsidRPr="00530770">
              <w:rPr>
                <w:rFonts w:cs="Arial"/>
                <w:sz w:val="20"/>
                <w:szCs w:val="20"/>
              </w:rPr>
              <w:t xml:space="preserve"> držák dávkovače desinfekce v kovovém nerezovém provedení, </w:t>
            </w:r>
            <w:r w:rsidR="00935C6B">
              <w:rPr>
                <w:rFonts w:cs="Arial"/>
                <w:sz w:val="20"/>
                <w:szCs w:val="20"/>
              </w:rPr>
              <w:t>5</w:t>
            </w:r>
            <w:r w:rsidRPr="00530770">
              <w:rPr>
                <w:rFonts w:cs="Arial"/>
                <w:sz w:val="20"/>
                <w:szCs w:val="20"/>
              </w:rPr>
              <w:t xml:space="preserve"> ks popruhu ve formě dvoubodového bezpečnostního pásu pro uchycení batohů a ostatního vybavení</w:t>
            </w:r>
            <w:r w:rsidR="005463CB">
              <w:rPr>
                <w:rFonts w:cs="Arial"/>
                <w:sz w:val="20"/>
                <w:szCs w:val="20"/>
              </w:rPr>
              <w:t xml:space="preserve"> na výsuvném platu</w:t>
            </w:r>
            <w:r w:rsidRPr="00530770">
              <w:rPr>
                <w:rFonts w:cs="Arial"/>
                <w:sz w:val="20"/>
                <w:szCs w:val="20"/>
              </w:rPr>
              <w:t>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D702B9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 se samostatným jištěním s optickou kontrolou funkčnosti, pr</w:t>
            </w:r>
            <w:r w:rsidR="00935C6B">
              <w:rPr>
                <w:rFonts w:cs="Arial"/>
                <w:sz w:val="20"/>
                <w:szCs w:val="20"/>
              </w:rPr>
              <w:t xml:space="preserve">o napájení </w:t>
            </w:r>
            <w:proofErr w:type="spellStart"/>
            <w:r w:rsidR="00935C6B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="00935C6B">
              <w:rPr>
                <w:rFonts w:cs="Arial"/>
                <w:sz w:val="20"/>
                <w:szCs w:val="20"/>
              </w:rPr>
              <w:t xml:space="preserve"> 3, odsávačky</w:t>
            </w:r>
            <w:r w:rsidR="00D702B9">
              <w:rPr>
                <w:rFonts w:cs="Arial"/>
                <w:sz w:val="20"/>
                <w:szCs w:val="20"/>
              </w:rPr>
              <w:t>, chladničky</w:t>
            </w:r>
            <w:r w:rsidRPr="00530770">
              <w:rPr>
                <w:rFonts w:cs="Arial"/>
                <w:sz w:val="20"/>
                <w:szCs w:val="20"/>
              </w:rPr>
              <w:t xml:space="preserve"> a </w:t>
            </w:r>
            <w:r w:rsidR="00D702B9">
              <w:rPr>
                <w:rFonts w:cs="Arial"/>
                <w:sz w:val="20"/>
                <w:szCs w:val="20"/>
              </w:rPr>
              <w:t>1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 w:rsidR="00935C6B">
              <w:rPr>
                <w:rFonts w:cs="Arial"/>
                <w:sz w:val="20"/>
                <w:szCs w:val="20"/>
              </w:rPr>
              <w:t xml:space="preserve">ks </w:t>
            </w:r>
            <w:r w:rsidRPr="00530770">
              <w:rPr>
                <w:rFonts w:cs="Arial"/>
                <w:sz w:val="20"/>
                <w:szCs w:val="20"/>
              </w:rPr>
              <w:t>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935C6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="00935C6B">
              <w:rPr>
                <w:rFonts w:cs="Arial"/>
                <w:sz w:val="20"/>
                <w:szCs w:val="20"/>
              </w:rPr>
              <w:t xml:space="preserve"> s optickou kontrolou</w:t>
            </w:r>
            <w:r w:rsidRPr="00530770">
              <w:rPr>
                <w:rFonts w:cs="Arial"/>
                <w:sz w:val="20"/>
                <w:szCs w:val="20"/>
              </w:rPr>
              <w:t>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Osvětlení zavazadlového prostoru led páskem studené bílé barvy na stropě kolmo k podélné ose vozidla o maximální délce dle možností konstrukce vozidla. Sepnutí a vypnutí světla otevřením a zavřením pátých dveří, možnost </w:t>
            </w:r>
            <w:r w:rsidRPr="00530770">
              <w:rPr>
                <w:rFonts w:cs="Arial"/>
                <w:sz w:val="20"/>
                <w:szCs w:val="20"/>
              </w:rPr>
              <w:lastRenderedPageBreak/>
              <w:t>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AD0464" w:rsidRPr="00530770" w:rsidTr="003C27D8">
        <w:tc>
          <w:tcPr>
            <w:tcW w:w="7088" w:type="dxa"/>
          </w:tcPr>
          <w:p w:rsidR="00AD0464" w:rsidRPr="00530770" w:rsidRDefault="00AD0464" w:rsidP="00AD0464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AD0464">
              <w:rPr>
                <w:rFonts w:cs="Arial"/>
                <w:sz w:val="20"/>
                <w:szCs w:val="20"/>
              </w:rPr>
              <w:t>Osvětlení p</w:t>
            </w:r>
            <w:r>
              <w:rPr>
                <w:rFonts w:cs="Arial"/>
                <w:sz w:val="20"/>
                <w:szCs w:val="20"/>
              </w:rPr>
              <w:t>rostoru spolujezdce na zadním sedadle led páskem studené bílé barvy</w:t>
            </w:r>
            <w:r w:rsidRPr="00AD0464">
              <w:rPr>
                <w:rFonts w:cs="Arial"/>
                <w:sz w:val="20"/>
                <w:szCs w:val="20"/>
              </w:rPr>
              <w:t xml:space="preserve"> umístěným na p</w:t>
            </w:r>
            <w:r>
              <w:rPr>
                <w:rFonts w:cs="Arial"/>
                <w:sz w:val="20"/>
                <w:szCs w:val="20"/>
              </w:rPr>
              <w:t>ravém boku skříňky nahoře</w:t>
            </w:r>
            <w:r w:rsidRPr="00AD0464">
              <w:rPr>
                <w:rFonts w:cs="Arial"/>
                <w:sz w:val="20"/>
                <w:szCs w:val="20"/>
              </w:rPr>
              <w:t xml:space="preserve"> v maximální délce dle možností konstrukce </w:t>
            </w:r>
            <w:r>
              <w:rPr>
                <w:rFonts w:cs="Arial"/>
                <w:sz w:val="20"/>
                <w:szCs w:val="20"/>
              </w:rPr>
              <w:t>skříňky</w:t>
            </w:r>
            <w:r w:rsidRPr="00AD0464">
              <w:rPr>
                <w:rFonts w:cs="Arial"/>
                <w:sz w:val="20"/>
                <w:szCs w:val="20"/>
              </w:rPr>
              <w:t>. Sepn</w:t>
            </w:r>
            <w:r>
              <w:rPr>
                <w:rFonts w:cs="Arial"/>
                <w:sz w:val="20"/>
                <w:szCs w:val="20"/>
              </w:rPr>
              <w:t xml:space="preserve">utí a vypnutí světla samostatným vypínačem </w:t>
            </w:r>
            <w:r w:rsidRPr="00AD0464">
              <w:rPr>
                <w:rFonts w:cs="Arial"/>
                <w:sz w:val="20"/>
                <w:szCs w:val="20"/>
              </w:rPr>
              <w:t xml:space="preserve">umístěným </w:t>
            </w:r>
            <w:r>
              <w:rPr>
                <w:rFonts w:cs="Arial"/>
                <w:sz w:val="20"/>
                <w:szCs w:val="20"/>
              </w:rPr>
              <w:t xml:space="preserve">v dosahu osoby sedící na místě spolujezdce </w:t>
            </w:r>
            <w:r w:rsidRPr="00AD0464">
              <w:rPr>
                <w:rFonts w:cs="Arial"/>
                <w:sz w:val="20"/>
                <w:szCs w:val="20"/>
              </w:rPr>
              <w:t>na</w:t>
            </w:r>
            <w:r>
              <w:rPr>
                <w:rFonts w:cs="Arial"/>
                <w:sz w:val="20"/>
                <w:szCs w:val="20"/>
              </w:rPr>
              <w:t xml:space="preserve"> zadním sedadle.</w:t>
            </w:r>
            <w:r w:rsidRPr="00AD0464">
              <w:rPr>
                <w:rFonts w:cs="Arial"/>
                <w:sz w:val="20"/>
                <w:szCs w:val="20"/>
              </w:rPr>
              <w:t xml:space="preserve">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AD0464" w:rsidRPr="00530770" w:rsidRDefault="00AD0464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D702B9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LED flexibilní lampička s dlouhým krkem se samostatným vypínačem, </w:t>
            </w:r>
            <w:r w:rsidR="00935C6B">
              <w:rPr>
                <w:rFonts w:cs="Arial"/>
                <w:sz w:val="20"/>
                <w:szCs w:val="20"/>
              </w:rPr>
              <w:t>6</w:t>
            </w:r>
            <w:r w:rsidRPr="00530770">
              <w:rPr>
                <w:rFonts w:cs="Arial"/>
                <w:sz w:val="20"/>
                <w:szCs w:val="20"/>
              </w:rPr>
              <w:t xml:space="preserve">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</w:t>
            </w:r>
            <w:r w:rsidR="00935C6B">
              <w:rPr>
                <w:rFonts w:cs="Arial"/>
                <w:sz w:val="20"/>
                <w:szCs w:val="20"/>
              </w:rPr>
              <w:t xml:space="preserve">, </w:t>
            </w:r>
            <w:r w:rsidR="00D702B9">
              <w:rPr>
                <w:rFonts w:cs="Arial"/>
                <w:sz w:val="20"/>
                <w:szCs w:val="20"/>
              </w:rPr>
              <w:t>tabletu</w:t>
            </w:r>
            <w:r w:rsidR="00935C6B">
              <w:rPr>
                <w:rFonts w:cs="Arial"/>
                <w:sz w:val="20"/>
                <w:szCs w:val="20"/>
              </w:rPr>
              <w:t>,</w:t>
            </w:r>
            <w:r w:rsidRPr="00530770">
              <w:rPr>
                <w:rFonts w:cs="Arial"/>
                <w:sz w:val="20"/>
                <w:szCs w:val="20"/>
              </w:rPr>
              <w:t xml:space="preserve"> přenosné svítilny </w:t>
            </w:r>
            <w:r w:rsidR="00935C6B">
              <w:rPr>
                <w:rFonts w:cs="Arial"/>
                <w:sz w:val="20"/>
                <w:szCs w:val="20"/>
              </w:rPr>
              <w:t>a</w:t>
            </w:r>
            <w:r w:rsidRPr="00530770">
              <w:rPr>
                <w:rFonts w:cs="Arial"/>
                <w:sz w:val="20"/>
                <w:szCs w:val="20"/>
              </w:rPr>
              <w:t xml:space="preserve"> rezerva.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EE0848" w:rsidP="005463C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</w:t>
            </w:r>
            <w:r>
              <w:rPr>
                <w:rFonts w:cs="Arial"/>
                <w:sz w:val="20"/>
                <w:szCs w:val="20"/>
              </w:rPr>
              <w:t xml:space="preserve">vpředu pořadač pro desky. Minimální vnitřní rozměr 370 x 310 x </w:t>
            </w:r>
            <w:r w:rsidRPr="001160C9">
              <w:rPr>
                <w:rFonts w:cs="Arial"/>
                <w:sz w:val="20"/>
                <w:szCs w:val="20"/>
              </w:rPr>
              <w:t>1</w:t>
            </w:r>
            <w:r w:rsidR="001160C9" w:rsidRPr="001160C9">
              <w:rPr>
                <w:rFonts w:cs="Arial"/>
                <w:sz w:val="20"/>
                <w:szCs w:val="20"/>
              </w:rPr>
              <w:t>0</w:t>
            </w:r>
            <w:r w:rsidRPr="001160C9">
              <w:rPr>
                <w:rFonts w:cs="Arial"/>
                <w:sz w:val="20"/>
                <w:szCs w:val="20"/>
              </w:rPr>
              <w:t>0 mm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="005463CB">
              <w:rPr>
                <w:rFonts w:cs="Arial"/>
                <w:sz w:val="20"/>
                <w:szCs w:val="20"/>
              </w:rPr>
              <w:t xml:space="preserve">Pořadač musí umožnit </w:t>
            </w:r>
            <w:r>
              <w:rPr>
                <w:rFonts w:cs="Arial"/>
                <w:sz w:val="20"/>
                <w:szCs w:val="20"/>
              </w:rPr>
              <w:t xml:space="preserve">zasunutí desek z vrchní strany pořadače. </w:t>
            </w:r>
            <w:r w:rsidRPr="00EE0848">
              <w:rPr>
                <w:rFonts w:cs="Arial"/>
                <w:sz w:val="20"/>
                <w:szCs w:val="20"/>
              </w:rPr>
              <w:t>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EE0848" w:rsidP="00935C6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AE6EC8">
              <w:rPr>
                <w:rFonts w:cs="Arial"/>
                <w:sz w:val="20"/>
                <w:szCs w:val="20"/>
              </w:rPr>
              <w:t>Na pořadači</w:t>
            </w:r>
            <w:r>
              <w:rPr>
                <w:rFonts w:cs="Arial"/>
                <w:sz w:val="20"/>
                <w:szCs w:val="20"/>
              </w:rPr>
              <w:t xml:space="preserve"> z přední strany 1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ks certifikovaný držák tabletu Panasonic FZ-G1 dle ČSN EN 1789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. Přesné umístění určí zadavatel. </w:t>
            </w:r>
            <w:r w:rsidR="003C27D8"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1A3E65" w:rsidP="008F2234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</w:t>
            </w:r>
            <w:r w:rsidR="008F2234">
              <w:rPr>
                <w:rFonts w:cs="Arial"/>
                <w:sz w:val="20"/>
                <w:szCs w:val="20"/>
              </w:rPr>
              <w:t xml:space="preserve"> v prostoru přední loketní opěrky. Přesné u</w:t>
            </w:r>
            <w:r w:rsidR="005C0856">
              <w:rPr>
                <w:rFonts w:cs="Arial"/>
                <w:sz w:val="20"/>
                <w:szCs w:val="20"/>
              </w:rPr>
              <w:t>místění zásuv</w:t>
            </w:r>
            <w:r w:rsidR="008F2234">
              <w:rPr>
                <w:rFonts w:cs="Arial"/>
                <w:sz w:val="20"/>
                <w:szCs w:val="20"/>
              </w:rPr>
              <w:t>e</w:t>
            </w:r>
            <w:r w:rsidR="003C27D8" w:rsidRPr="00530770">
              <w:rPr>
                <w:rFonts w:cs="Arial"/>
                <w:sz w:val="20"/>
                <w:szCs w:val="20"/>
              </w:rPr>
              <w:t>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A3E65" w:rsidRPr="00530770" w:rsidTr="003C27D8">
        <w:tc>
          <w:tcPr>
            <w:tcW w:w="7088" w:type="dxa"/>
          </w:tcPr>
          <w:p w:rsidR="001A3E65" w:rsidRPr="00530770" w:rsidRDefault="008F2234" w:rsidP="002112C7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ks</w:t>
            </w:r>
            <w:r w:rsidR="001A3E65" w:rsidRPr="001A3E65">
              <w:rPr>
                <w:rFonts w:cs="Arial"/>
                <w:sz w:val="20"/>
                <w:szCs w:val="20"/>
              </w:rPr>
              <w:t xml:space="preserve"> držák tabletu </w:t>
            </w:r>
            <w:r w:rsidR="00100A28">
              <w:rPr>
                <w:rFonts w:cs="Arial"/>
                <w:sz w:val="20"/>
                <w:szCs w:val="20"/>
              </w:rPr>
              <w:t xml:space="preserve">Samsung </w:t>
            </w:r>
            <w:proofErr w:type="spellStart"/>
            <w:r w:rsidR="00100A28">
              <w:rPr>
                <w:rFonts w:cs="Arial"/>
                <w:sz w:val="20"/>
                <w:szCs w:val="20"/>
              </w:rPr>
              <w:t>Galaxy</w:t>
            </w:r>
            <w:proofErr w:type="spellEnd"/>
            <w:r w:rsidR="00100A28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100A28">
              <w:rPr>
                <w:rFonts w:cs="Arial"/>
                <w:sz w:val="20"/>
                <w:szCs w:val="20"/>
              </w:rPr>
              <w:t>Tab</w:t>
            </w:r>
            <w:proofErr w:type="spellEnd"/>
            <w:r w:rsidR="00100A28">
              <w:rPr>
                <w:rFonts w:cs="Arial"/>
                <w:sz w:val="20"/>
                <w:szCs w:val="20"/>
              </w:rPr>
              <w:t xml:space="preserve"> S4 </w:t>
            </w:r>
            <w:r w:rsidR="00AD0464">
              <w:rPr>
                <w:rFonts w:cs="Arial"/>
                <w:sz w:val="20"/>
                <w:szCs w:val="20"/>
              </w:rPr>
              <w:t>v</w:t>
            </w:r>
            <w:r w:rsidR="001A3E65" w:rsidRPr="001A3E65">
              <w:rPr>
                <w:rFonts w:cs="Arial"/>
                <w:sz w:val="20"/>
                <w:szCs w:val="20"/>
              </w:rPr>
              <w:t xml:space="preserve"> prostoru před spolujezdcem při deaktivovaném airbagu, držák včetně funkce dobíjení tabletu 12V, držák musí umožnit sledování informací na tabletu ze sedadla řidiče včetně ovládání tabletu řidičem.</w:t>
            </w:r>
            <w:r w:rsidR="001A3E65">
              <w:rPr>
                <w:rFonts w:cs="Arial"/>
                <w:sz w:val="20"/>
                <w:szCs w:val="20"/>
              </w:rPr>
              <w:t xml:space="preserve"> </w:t>
            </w:r>
            <w:r w:rsidR="00AE6EC8">
              <w:rPr>
                <w:rFonts w:cs="Arial"/>
                <w:sz w:val="20"/>
                <w:szCs w:val="20"/>
              </w:rPr>
              <w:t xml:space="preserve">Tablet dodá zadavatel. </w:t>
            </w:r>
            <w:r>
              <w:rPr>
                <w:rFonts w:cs="Arial"/>
                <w:sz w:val="20"/>
                <w:szCs w:val="20"/>
              </w:rPr>
              <w:t xml:space="preserve">Držák dle fotodokumentace v příloze TS č. 1. </w:t>
            </w:r>
            <w:r w:rsidR="001A3E65" w:rsidRPr="001A3E65">
              <w:rPr>
                <w:rFonts w:cs="Arial"/>
                <w:sz w:val="20"/>
                <w:szCs w:val="20"/>
              </w:rPr>
              <w:t>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1A3E65" w:rsidRPr="00530770" w:rsidRDefault="001A3E6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AE6EC8">
              <w:rPr>
                <w:rFonts w:cs="Arial"/>
                <w:sz w:val="20"/>
                <w:szCs w:val="20"/>
              </w:rPr>
              <w:t>2 ks</w:t>
            </w:r>
            <w:r w:rsidRPr="00530770">
              <w:rPr>
                <w:rFonts w:cs="Arial"/>
                <w:sz w:val="20"/>
                <w:szCs w:val="20"/>
              </w:rPr>
              <w:t xml:space="preserve">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C19F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536C1" w:rsidP="002536C1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držák ruční radiostanice Matra na přední straně skříňky, včetně dodání ziskové antény a napájení. </w:t>
            </w:r>
            <w:bookmarkStart w:id="0" w:name="_GoBack"/>
            <w:bookmarkEnd w:id="0"/>
            <w:r w:rsidR="003C27D8" w:rsidRPr="00530770">
              <w:rPr>
                <w:rFonts w:cs="Arial"/>
                <w:sz w:val="20"/>
                <w:szCs w:val="20"/>
              </w:rPr>
              <w:t>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F972D5" w:rsidRPr="00530770" w:rsidTr="003C27D8">
        <w:tc>
          <w:tcPr>
            <w:tcW w:w="7088" w:type="dxa"/>
          </w:tcPr>
          <w:p w:rsidR="00F972D5" w:rsidRPr="00530770" w:rsidRDefault="00F972D5" w:rsidP="00F972D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Vyvedení napájení pro 2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ks dobíjecího držáku ruční radiostanice Matra, včetně montáže těchto držáků</w:t>
            </w:r>
            <w:r w:rsidR="00AC19F3">
              <w:rPr>
                <w:rFonts w:cs="Arial"/>
                <w:sz w:val="20"/>
                <w:szCs w:val="20"/>
              </w:rPr>
              <w:t xml:space="preserve"> na přední straně skříňky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="008B2902">
              <w:rPr>
                <w:rFonts w:cs="Arial"/>
                <w:sz w:val="20"/>
                <w:szCs w:val="20"/>
              </w:rPr>
              <w:t xml:space="preserve">Držáky dodá zadavatel. </w:t>
            </w:r>
            <w:r w:rsidRPr="00F972D5">
              <w:rPr>
                <w:rFonts w:cs="Arial"/>
                <w:sz w:val="20"/>
                <w:szCs w:val="20"/>
              </w:rPr>
              <w:t>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F972D5" w:rsidRPr="00530770" w:rsidRDefault="00F972D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8B2902" w:rsidRPr="00530770" w:rsidTr="003C27D8">
        <w:tc>
          <w:tcPr>
            <w:tcW w:w="7088" w:type="dxa"/>
          </w:tcPr>
          <w:p w:rsidR="008B2902" w:rsidRDefault="008B2902" w:rsidP="00F972D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ks ruční radiostanice dle popisu v příloze TS č. 6.</w:t>
            </w:r>
          </w:p>
        </w:tc>
        <w:tc>
          <w:tcPr>
            <w:tcW w:w="3224" w:type="dxa"/>
            <w:shd w:val="clear" w:color="auto" w:fill="FFFFCC"/>
          </w:tcPr>
          <w:p w:rsidR="008B2902" w:rsidRPr="00530770" w:rsidRDefault="008B290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  <w:r w:rsidR="008B290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A6FB2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lastRenderedPageBreak/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</w:t>
            </w:r>
            <w:r w:rsidR="00AE6EC8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482D20" w:rsidRPr="00530770" w:rsidTr="00530770">
        <w:tc>
          <w:tcPr>
            <w:tcW w:w="7088" w:type="dxa"/>
          </w:tcPr>
          <w:p w:rsidR="00482D20" w:rsidRPr="00530770" w:rsidRDefault="00482D2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482D20">
              <w:rPr>
                <w:rFonts w:cs="Arial"/>
                <w:sz w:val="20"/>
                <w:szCs w:val="20"/>
              </w:rPr>
              <w:t>Na obou bocích nápis INSPEKTOR PROVOZU bílý reflex v zelené kostce na předních dveřích.</w:t>
            </w:r>
          </w:p>
        </w:tc>
        <w:tc>
          <w:tcPr>
            <w:tcW w:w="3224" w:type="dxa"/>
            <w:shd w:val="clear" w:color="auto" w:fill="FFFFCC"/>
          </w:tcPr>
          <w:p w:rsidR="00482D20" w:rsidRPr="00530770" w:rsidRDefault="00482D20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 xml:space="preserve">ir </w:t>
            </w:r>
            <w:r w:rsidR="000E3FA4">
              <w:rPr>
                <w:rFonts w:eastAsia="Calibri" w:cs="Arial"/>
                <w:sz w:val="20"/>
                <w:szCs w:val="20"/>
              </w:rPr>
              <w:lastRenderedPageBreak/>
              <w:t>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lastRenderedPageBreak/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230V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671" w:rsidRDefault="007C1671" w:rsidP="004F7929">
      <w:pPr>
        <w:spacing w:after="0" w:line="240" w:lineRule="auto"/>
      </w:pPr>
      <w:r>
        <w:separator/>
      </w:r>
    </w:p>
  </w:endnote>
  <w:endnote w:type="continuationSeparator" w:id="0">
    <w:p w:rsidR="007C1671" w:rsidRDefault="007C1671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33154C">
          <w:rPr>
            <w:noProof/>
            <w:sz w:val="18"/>
          </w:rPr>
          <w:t>5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671" w:rsidRDefault="007C1671" w:rsidP="004F7929">
      <w:pPr>
        <w:spacing w:after="0" w:line="240" w:lineRule="auto"/>
      </w:pPr>
      <w:r>
        <w:separator/>
      </w:r>
    </w:p>
  </w:footnote>
  <w:footnote w:type="continuationSeparator" w:id="0">
    <w:p w:rsidR="007C1671" w:rsidRDefault="007C1671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9E245C">
    <w:pPr>
      <w:pStyle w:val="Zhlav"/>
    </w:pPr>
    <w:r>
      <w:t xml:space="preserve">Technická specifikace </w:t>
    </w:r>
    <w:r w:rsidR="004F7929">
      <w:t xml:space="preserve">vozidla </w:t>
    </w:r>
    <w:r>
      <w:t>IP</w:t>
    </w:r>
    <w:r w:rsidR="004F7929">
      <w:t xml:space="preserve"> </w:t>
    </w:r>
    <w:r>
      <w:t>(</w:t>
    </w:r>
    <w:r w:rsidR="00A87F6E">
      <w:t xml:space="preserve">posilového </w:t>
    </w:r>
    <w:r>
      <w:t xml:space="preserve">vozidla RLP </w:t>
    </w:r>
    <w:r w:rsidR="004F7929">
      <w:t>v setkávacím systému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6D35"/>
    <w:rsid w:val="00096E54"/>
    <w:rsid w:val="000A21D4"/>
    <w:rsid w:val="000A706C"/>
    <w:rsid w:val="000B136A"/>
    <w:rsid w:val="000D3DE5"/>
    <w:rsid w:val="000D48EA"/>
    <w:rsid w:val="000E3FA4"/>
    <w:rsid w:val="000E3FA9"/>
    <w:rsid w:val="000F7DE2"/>
    <w:rsid w:val="00100A28"/>
    <w:rsid w:val="0010679F"/>
    <w:rsid w:val="00106E46"/>
    <w:rsid w:val="00115CD7"/>
    <w:rsid w:val="001160C9"/>
    <w:rsid w:val="001251A6"/>
    <w:rsid w:val="00132D5D"/>
    <w:rsid w:val="00145D08"/>
    <w:rsid w:val="00161FF9"/>
    <w:rsid w:val="00180307"/>
    <w:rsid w:val="0019551C"/>
    <w:rsid w:val="001A3E65"/>
    <w:rsid w:val="001B177A"/>
    <w:rsid w:val="001B21A2"/>
    <w:rsid w:val="001C7120"/>
    <w:rsid w:val="001E58E1"/>
    <w:rsid w:val="00210B1F"/>
    <w:rsid w:val="002112C7"/>
    <w:rsid w:val="0022162C"/>
    <w:rsid w:val="00222A4D"/>
    <w:rsid w:val="00230DE1"/>
    <w:rsid w:val="00237A70"/>
    <w:rsid w:val="00247A86"/>
    <w:rsid w:val="00247FB3"/>
    <w:rsid w:val="002519E5"/>
    <w:rsid w:val="00252682"/>
    <w:rsid w:val="002536C1"/>
    <w:rsid w:val="00255353"/>
    <w:rsid w:val="0026111D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5DC3"/>
    <w:rsid w:val="0030248D"/>
    <w:rsid w:val="003164DD"/>
    <w:rsid w:val="0033154C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B24C2"/>
    <w:rsid w:val="003B686D"/>
    <w:rsid w:val="003C27D8"/>
    <w:rsid w:val="003C6AC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2D20"/>
    <w:rsid w:val="0048363A"/>
    <w:rsid w:val="004A0E58"/>
    <w:rsid w:val="004A0E62"/>
    <w:rsid w:val="004B0309"/>
    <w:rsid w:val="004B0AFB"/>
    <w:rsid w:val="004B305D"/>
    <w:rsid w:val="004C788D"/>
    <w:rsid w:val="004D79D7"/>
    <w:rsid w:val="004E0880"/>
    <w:rsid w:val="004E646F"/>
    <w:rsid w:val="004F103D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463CB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206EF"/>
    <w:rsid w:val="00644297"/>
    <w:rsid w:val="00646142"/>
    <w:rsid w:val="006541D7"/>
    <w:rsid w:val="00657DA7"/>
    <w:rsid w:val="00667758"/>
    <w:rsid w:val="00681F6F"/>
    <w:rsid w:val="006839F1"/>
    <w:rsid w:val="00687070"/>
    <w:rsid w:val="00687931"/>
    <w:rsid w:val="00695D73"/>
    <w:rsid w:val="006A07D5"/>
    <w:rsid w:val="006A6FB2"/>
    <w:rsid w:val="006F15C8"/>
    <w:rsid w:val="00701CE0"/>
    <w:rsid w:val="00702667"/>
    <w:rsid w:val="00726B7D"/>
    <w:rsid w:val="00735D78"/>
    <w:rsid w:val="007413B9"/>
    <w:rsid w:val="00746F6E"/>
    <w:rsid w:val="00755A4F"/>
    <w:rsid w:val="00782BC8"/>
    <w:rsid w:val="007849C8"/>
    <w:rsid w:val="0078666B"/>
    <w:rsid w:val="00786E81"/>
    <w:rsid w:val="00792835"/>
    <w:rsid w:val="00795DEF"/>
    <w:rsid w:val="007A0041"/>
    <w:rsid w:val="007A00C8"/>
    <w:rsid w:val="007B7564"/>
    <w:rsid w:val="007C1671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2B44"/>
    <w:rsid w:val="00857757"/>
    <w:rsid w:val="008613ED"/>
    <w:rsid w:val="00882EF0"/>
    <w:rsid w:val="0089055D"/>
    <w:rsid w:val="0089154E"/>
    <w:rsid w:val="00893110"/>
    <w:rsid w:val="0089637D"/>
    <w:rsid w:val="008A0E69"/>
    <w:rsid w:val="008A1F7A"/>
    <w:rsid w:val="008A52B2"/>
    <w:rsid w:val="008B2902"/>
    <w:rsid w:val="008D2735"/>
    <w:rsid w:val="008F2234"/>
    <w:rsid w:val="009047F3"/>
    <w:rsid w:val="00905EE7"/>
    <w:rsid w:val="00911D84"/>
    <w:rsid w:val="00916D8F"/>
    <w:rsid w:val="00916F36"/>
    <w:rsid w:val="0091746C"/>
    <w:rsid w:val="00935C6B"/>
    <w:rsid w:val="00936078"/>
    <w:rsid w:val="00945590"/>
    <w:rsid w:val="00945EB0"/>
    <w:rsid w:val="009515C6"/>
    <w:rsid w:val="00964DCF"/>
    <w:rsid w:val="00973BE0"/>
    <w:rsid w:val="009871CC"/>
    <w:rsid w:val="009B34DE"/>
    <w:rsid w:val="009E245C"/>
    <w:rsid w:val="009E38D4"/>
    <w:rsid w:val="00A17E0C"/>
    <w:rsid w:val="00A23B1A"/>
    <w:rsid w:val="00A43F5C"/>
    <w:rsid w:val="00A47044"/>
    <w:rsid w:val="00A507AF"/>
    <w:rsid w:val="00A87F6E"/>
    <w:rsid w:val="00A919C5"/>
    <w:rsid w:val="00A94846"/>
    <w:rsid w:val="00A94E63"/>
    <w:rsid w:val="00AA029F"/>
    <w:rsid w:val="00AA3ECE"/>
    <w:rsid w:val="00AA622C"/>
    <w:rsid w:val="00AB3FC5"/>
    <w:rsid w:val="00AC19F3"/>
    <w:rsid w:val="00AC689D"/>
    <w:rsid w:val="00AD0464"/>
    <w:rsid w:val="00AE4CA7"/>
    <w:rsid w:val="00AE6EC8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C23CB"/>
    <w:rsid w:val="00CC4F87"/>
    <w:rsid w:val="00CC686B"/>
    <w:rsid w:val="00CD377D"/>
    <w:rsid w:val="00CF2795"/>
    <w:rsid w:val="00D025E4"/>
    <w:rsid w:val="00D14652"/>
    <w:rsid w:val="00D16AD6"/>
    <w:rsid w:val="00D275AF"/>
    <w:rsid w:val="00D27CE6"/>
    <w:rsid w:val="00D31394"/>
    <w:rsid w:val="00D3336C"/>
    <w:rsid w:val="00D42925"/>
    <w:rsid w:val="00D62C4E"/>
    <w:rsid w:val="00D702B9"/>
    <w:rsid w:val="00D74372"/>
    <w:rsid w:val="00D75615"/>
    <w:rsid w:val="00D807BE"/>
    <w:rsid w:val="00D84C94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451ED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0848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972D5"/>
    <w:rsid w:val="00FA02D1"/>
    <w:rsid w:val="00FA15F7"/>
    <w:rsid w:val="00FA3B58"/>
    <w:rsid w:val="00FB4C80"/>
    <w:rsid w:val="00FB52BC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3859-B6B9-4E9D-87C8-37BFB6A8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3507</Words>
  <Characters>20698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21</cp:revision>
  <cp:lastPrinted>2016-12-13T14:32:00Z</cp:lastPrinted>
  <dcterms:created xsi:type="dcterms:W3CDTF">2021-11-09T13:19:00Z</dcterms:created>
  <dcterms:modified xsi:type="dcterms:W3CDTF">2022-02-15T08:32:00Z</dcterms:modified>
</cp:coreProperties>
</file>